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71F5" w14:textId="72C3BBA7" w:rsidR="009C418D" w:rsidRPr="00211D7D" w:rsidRDefault="009C418D" w:rsidP="009C418D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lang w:val="es-ES"/>
        </w:rPr>
      </w:pPr>
      <w:r w:rsidRPr="00211D7D">
        <w:rPr>
          <w:b/>
          <w:sz w:val="28"/>
          <w:szCs w:val="28"/>
          <w:lang w:val="es-ES"/>
        </w:rPr>
        <w:t>PHỤ LỤC</w:t>
      </w:r>
      <w:r w:rsidR="00527FF7">
        <w:rPr>
          <w:b/>
          <w:sz w:val="28"/>
          <w:szCs w:val="28"/>
          <w:lang w:val="es-ES"/>
        </w:rPr>
        <w:t xml:space="preserve"> THÔNG TIN BÁO GIÁ</w:t>
      </w:r>
    </w:p>
    <w:p w14:paraId="27DABE10" w14:textId="236B2C1E" w:rsidR="009C418D" w:rsidRPr="004A4B88" w:rsidRDefault="009C418D" w:rsidP="009C418D">
      <w:pPr>
        <w:tabs>
          <w:tab w:val="left" w:pos="3450"/>
        </w:tabs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lang w:val="es-ES"/>
        </w:rPr>
      </w:pPr>
      <w:proofErr w:type="spellStart"/>
      <w:r w:rsidRPr="00211D7D">
        <w:rPr>
          <w:b/>
          <w:sz w:val="28"/>
          <w:szCs w:val="28"/>
          <w:lang w:val="es-ES"/>
        </w:rPr>
        <w:t>Gói</w:t>
      </w:r>
      <w:proofErr w:type="spellEnd"/>
      <w:r w:rsidRPr="00211D7D">
        <w:rPr>
          <w:b/>
          <w:sz w:val="28"/>
          <w:szCs w:val="28"/>
          <w:lang w:val="es-ES"/>
        </w:rPr>
        <w:t xml:space="preserve"> </w:t>
      </w:r>
      <w:proofErr w:type="spellStart"/>
      <w:r w:rsidRPr="00211D7D">
        <w:rPr>
          <w:b/>
          <w:sz w:val="28"/>
          <w:szCs w:val="28"/>
          <w:lang w:val="es-ES"/>
        </w:rPr>
        <w:t>thầu</w:t>
      </w:r>
      <w:proofErr w:type="spellEnd"/>
      <w:r w:rsidRPr="00211D7D">
        <w:rPr>
          <w:b/>
          <w:sz w:val="28"/>
          <w:szCs w:val="28"/>
          <w:lang w:val="es-ES"/>
        </w:rPr>
        <w:t>: “</w:t>
      </w:r>
      <w:proofErr w:type="spellStart"/>
      <w:r w:rsidRPr="00BA5939">
        <w:rPr>
          <w:b/>
          <w:sz w:val="28"/>
          <w:szCs w:val="28"/>
          <w:lang w:val="es-ES"/>
        </w:rPr>
        <w:t>Nghiên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cứu</w:t>
      </w:r>
      <w:proofErr w:type="spellEnd"/>
      <w:r w:rsidRPr="00BA5939">
        <w:rPr>
          <w:b/>
          <w:sz w:val="28"/>
          <w:szCs w:val="28"/>
          <w:lang w:val="es-ES"/>
        </w:rPr>
        <w:t xml:space="preserve">, </w:t>
      </w:r>
      <w:proofErr w:type="spellStart"/>
      <w:r w:rsidRPr="00BA5939">
        <w:rPr>
          <w:b/>
          <w:sz w:val="28"/>
          <w:szCs w:val="28"/>
          <w:lang w:val="es-ES"/>
        </w:rPr>
        <w:t>tổng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hợp</w:t>
      </w:r>
      <w:proofErr w:type="spellEnd"/>
      <w:r w:rsidRPr="00BA5939">
        <w:rPr>
          <w:b/>
          <w:sz w:val="28"/>
          <w:szCs w:val="28"/>
          <w:lang w:val="es-ES"/>
        </w:rPr>
        <w:t xml:space="preserve">, </w:t>
      </w:r>
      <w:proofErr w:type="spellStart"/>
      <w:r w:rsidRPr="00BA5939">
        <w:rPr>
          <w:b/>
          <w:sz w:val="28"/>
          <w:szCs w:val="28"/>
          <w:lang w:val="es-ES"/>
        </w:rPr>
        <w:t>phân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tích</w:t>
      </w:r>
      <w:proofErr w:type="spellEnd"/>
      <w:r w:rsidRPr="00BA5939">
        <w:rPr>
          <w:b/>
          <w:sz w:val="28"/>
          <w:szCs w:val="28"/>
          <w:lang w:val="es-ES"/>
        </w:rPr>
        <w:t xml:space="preserve">, </w:t>
      </w:r>
      <w:proofErr w:type="spellStart"/>
      <w:r w:rsidRPr="00BA5939">
        <w:rPr>
          <w:b/>
          <w:sz w:val="28"/>
          <w:szCs w:val="28"/>
          <w:lang w:val="es-ES"/>
        </w:rPr>
        <w:t>đánh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giá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tác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động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của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biện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pháp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phòng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vệ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thương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mại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đối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với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BA5939">
        <w:rPr>
          <w:b/>
          <w:sz w:val="28"/>
          <w:szCs w:val="28"/>
          <w:lang w:val="es-ES"/>
        </w:rPr>
        <w:t>một</w:t>
      </w:r>
      <w:proofErr w:type="spellEnd"/>
      <w:r w:rsidRPr="00BA5939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số</w:t>
      </w:r>
      <w:proofErr w:type="spellEnd"/>
      <w:r w:rsidRPr="004A4B88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biện</w:t>
      </w:r>
      <w:proofErr w:type="spellEnd"/>
      <w:r w:rsidRPr="004A4B88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pháp</w:t>
      </w:r>
      <w:proofErr w:type="spellEnd"/>
      <w:r w:rsidRPr="004A4B88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sau</w:t>
      </w:r>
      <w:proofErr w:type="spellEnd"/>
      <w:r w:rsidRPr="004A4B88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khi</w:t>
      </w:r>
      <w:proofErr w:type="spellEnd"/>
      <w:r w:rsidRPr="004A4B88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được</w:t>
      </w:r>
      <w:proofErr w:type="spellEnd"/>
      <w:r w:rsidRPr="004A4B88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áp</w:t>
      </w:r>
      <w:proofErr w:type="spellEnd"/>
      <w:r w:rsidRPr="004A4B88">
        <w:rPr>
          <w:b/>
          <w:sz w:val="28"/>
          <w:szCs w:val="28"/>
          <w:lang w:val="es-ES"/>
        </w:rPr>
        <w:t xml:space="preserve"> </w:t>
      </w:r>
      <w:proofErr w:type="spellStart"/>
      <w:r w:rsidRPr="004A4B88">
        <w:rPr>
          <w:b/>
          <w:sz w:val="28"/>
          <w:szCs w:val="28"/>
          <w:lang w:val="es-ES"/>
        </w:rPr>
        <w:t>dụng</w:t>
      </w:r>
      <w:proofErr w:type="spellEnd"/>
      <w:r w:rsidRPr="004A4B88">
        <w:rPr>
          <w:b/>
          <w:sz w:val="28"/>
          <w:szCs w:val="28"/>
          <w:lang w:val="es-ES"/>
        </w:rPr>
        <w:t>”</w:t>
      </w:r>
      <w:r w:rsidR="00527FF7">
        <w:rPr>
          <w:b/>
          <w:sz w:val="28"/>
          <w:szCs w:val="28"/>
          <w:lang w:val="es-ES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thuộc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Đề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án</w:t>
      </w:r>
      <w:proofErr w:type="spellEnd"/>
      <w:r w:rsidR="00527FF7">
        <w:rPr>
          <w:b/>
          <w:bCs/>
          <w:sz w:val="28"/>
          <w:szCs w:val="28"/>
        </w:rPr>
        <w:t xml:space="preserve"> “</w:t>
      </w:r>
      <w:proofErr w:type="spellStart"/>
      <w:r w:rsidR="00527FF7">
        <w:rPr>
          <w:b/>
          <w:bCs/>
          <w:sz w:val="28"/>
          <w:szCs w:val="28"/>
        </w:rPr>
        <w:t>Xây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dựng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và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vận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hành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hiệu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quả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Hệ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thống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cảnh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báo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sớm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về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phòng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vệ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thương</w:t>
      </w:r>
      <w:proofErr w:type="spellEnd"/>
      <w:r w:rsidR="00527FF7">
        <w:rPr>
          <w:b/>
          <w:bCs/>
          <w:sz w:val="28"/>
          <w:szCs w:val="28"/>
        </w:rPr>
        <w:t xml:space="preserve"> </w:t>
      </w:r>
      <w:proofErr w:type="spellStart"/>
      <w:r w:rsidR="00527FF7">
        <w:rPr>
          <w:b/>
          <w:bCs/>
          <w:sz w:val="28"/>
          <w:szCs w:val="28"/>
        </w:rPr>
        <w:t>mại</w:t>
      </w:r>
      <w:proofErr w:type="spellEnd"/>
      <w:r w:rsidR="00527FF7">
        <w:rPr>
          <w:b/>
          <w:bCs/>
          <w:sz w:val="28"/>
          <w:szCs w:val="28"/>
        </w:rPr>
        <w:t xml:space="preserve">” </w:t>
      </w:r>
      <w:proofErr w:type="spellStart"/>
      <w:r w:rsidR="00527FF7">
        <w:rPr>
          <w:b/>
          <w:bCs/>
          <w:sz w:val="28"/>
          <w:szCs w:val="28"/>
        </w:rPr>
        <w:t>năm</w:t>
      </w:r>
      <w:proofErr w:type="spellEnd"/>
      <w:r w:rsidR="00527FF7">
        <w:rPr>
          <w:b/>
          <w:bCs/>
          <w:sz w:val="28"/>
          <w:szCs w:val="28"/>
        </w:rPr>
        <w:t xml:space="preserve"> 2025</w:t>
      </w:r>
    </w:p>
    <w:p w14:paraId="3D73B053" w14:textId="77777777" w:rsidR="009C418D" w:rsidRDefault="009C418D" w:rsidP="009C418D">
      <w:pPr>
        <w:tabs>
          <w:tab w:val="left" w:pos="3450"/>
        </w:tabs>
        <w:autoSpaceDE w:val="0"/>
        <w:autoSpaceDN w:val="0"/>
        <w:adjustRightInd w:val="0"/>
        <w:spacing w:before="120"/>
        <w:rPr>
          <w:b/>
          <w:sz w:val="28"/>
          <w:szCs w:val="28"/>
          <w:lang w:val="es-ES"/>
        </w:rPr>
      </w:pP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46"/>
        <w:gridCol w:w="3958"/>
        <w:gridCol w:w="1263"/>
        <w:gridCol w:w="977"/>
        <w:gridCol w:w="1546"/>
        <w:gridCol w:w="1516"/>
        <w:gridCol w:w="2394"/>
      </w:tblGrid>
      <w:tr w:rsidR="009C418D" w14:paraId="0B99325C" w14:textId="77777777" w:rsidTr="00E60A8A">
        <w:trPr>
          <w:trHeight w:val="780"/>
        </w:trPr>
        <w:tc>
          <w:tcPr>
            <w:tcW w:w="172" w:type="pct"/>
            <w:shd w:val="clear" w:color="000000" w:fill="D9D9D9"/>
            <w:vAlign w:val="center"/>
            <w:hideMark/>
          </w:tcPr>
          <w:p w14:paraId="1A4031E7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BC724EA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0" w:type="pct"/>
            <w:shd w:val="clear" w:color="000000" w:fill="D9D9D9"/>
            <w:vAlign w:val="center"/>
            <w:hideMark/>
          </w:tcPr>
          <w:p w14:paraId="11DFEF1D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Mã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SP/DV</w:t>
            </w:r>
          </w:p>
        </w:tc>
        <w:tc>
          <w:tcPr>
            <w:tcW w:w="1470" w:type="pct"/>
            <w:shd w:val="clear" w:color="000000" w:fill="D9D9D9"/>
            <w:vAlign w:val="center"/>
            <w:hideMark/>
          </w:tcPr>
          <w:p w14:paraId="56E4F7A9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Mô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tả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28FDFD37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63" w:type="pct"/>
            <w:shd w:val="clear" w:color="000000" w:fill="D9D9D9"/>
            <w:vAlign w:val="center"/>
            <w:hideMark/>
          </w:tcPr>
          <w:p w14:paraId="32E7F342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574" w:type="pct"/>
            <w:shd w:val="clear" w:color="000000" w:fill="D9D9D9"/>
            <w:vAlign w:val="center"/>
            <w:hideMark/>
          </w:tcPr>
          <w:p w14:paraId="076C015F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63" w:type="pct"/>
            <w:shd w:val="clear" w:color="000000" w:fill="D9D9D9"/>
            <w:vAlign w:val="center"/>
            <w:hideMark/>
          </w:tcPr>
          <w:p w14:paraId="557D5D8C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>
              <w:rPr>
                <w:b/>
                <w:bCs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889" w:type="pct"/>
            <w:shd w:val="clear" w:color="000000" w:fill="D9D9D9"/>
          </w:tcPr>
          <w:p w14:paraId="457A9B00" w14:textId="0B12D383" w:rsidR="009C418D" w:rsidRDefault="00527FF7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Y</w:t>
            </w:r>
            <w:r w:rsidR="009C418D">
              <w:rPr>
                <w:b/>
                <w:bCs/>
                <w:sz w:val="26"/>
                <w:szCs w:val="26"/>
              </w:rPr>
              <w:t>êu</w:t>
            </w:r>
            <w:proofErr w:type="spellEnd"/>
            <w:r w:rsidR="009C418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C418D">
              <w:rPr>
                <w:b/>
                <w:bCs/>
                <w:sz w:val="26"/>
                <w:szCs w:val="26"/>
              </w:rPr>
              <w:t>cầu</w:t>
            </w:r>
            <w:proofErr w:type="spellEnd"/>
            <w:r w:rsidR="009C418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C418D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="009C418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C418D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</w:tr>
      <w:tr w:rsidR="009C418D" w14:paraId="59F508DB" w14:textId="77777777" w:rsidTr="00E60A8A">
        <w:trPr>
          <w:trHeight w:val="1770"/>
        </w:trPr>
        <w:tc>
          <w:tcPr>
            <w:tcW w:w="172" w:type="pct"/>
            <w:shd w:val="clear" w:color="000000" w:fill="E2EFDA"/>
            <w:vAlign w:val="center"/>
            <w:hideMark/>
          </w:tcPr>
          <w:p w14:paraId="0F2DA15B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376" w:type="pct"/>
            <w:gridSpan w:val="5"/>
            <w:shd w:val="clear" w:color="000000" w:fill="E2EFDA"/>
            <w:vAlign w:val="center"/>
            <w:hideMark/>
          </w:tcPr>
          <w:p w14:paraId="6493E0CB" w14:textId="77777777" w:rsidR="009C418D" w:rsidRPr="00882E28" w:rsidRDefault="009C418D" w:rsidP="009A6329">
            <w:pPr>
              <w:jc w:val="both"/>
              <w:rPr>
                <w:sz w:val="26"/>
                <w:szCs w:val="26"/>
              </w:rPr>
            </w:pPr>
            <w:proofErr w:type="spellStart"/>
            <w:r w:rsidRPr="00882E28">
              <w:rPr>
                <w:sz w:val="26"/>
                <w:szCs w:val="26"/>
              </w:rPr>
              <w:t>Xây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dựng</w:t>
            </w:r>
            <w:proofErr w:type="spellEnd"/>
            <w:r w:rsidRPr="00882E28">
              <w:rPr>
                <w:sz w:val="26"/>
                <w:szCs w:val="26"/>
              </w:rPr>
              <w:t xml:space="preserve"> 06 </w:t>
            </w:r>
            <w:proofErr w:type="spellStart"/>
            <w:r w:rsidRPr="00882E28">
              <w:rPr>
                <w:sz w:val="26"/>
                <w:szCs w:val="26"/>
              </w:rPr>
              <w:t>báo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nghiên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cứu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theo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dõi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đánh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giá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nguy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cơ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lẩn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tránh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thuế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phòng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vệ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thương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mại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đối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với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một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số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ngành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sản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xuất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sản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phẩm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phân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tích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các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dữ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liệu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thông</w:t>
            </w:r>
            <w:proofErr w:type="spellEnd"/>
            <w:r w:rsidRPr="00882E28">
              <w:rPr>
                <w:sz w:val="26"/>
                <w:szCs w:val="26"/>
              </w:rPr>
              <w:t xml:space="preserve"> tin </w:t>
            </w:r>
            <w:proofErr w:type="spellStart"/>
            <w:r w:rsidRPr="00882E28">
              <w:rPr>
                <w:sz w:val="26"/>
                <w:szCs w:val="26"/>
              </w:rPr>
              <w:t>về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hành</w:t>
            </w:r>
            <w:proofErr w:type="spellEnd"/>
            <w:r w:rsidRPr="00882E28">
              <w:rPr>
                <w:sz w:val="26"/>
                <w:szCs w:val="26"/>
              </w:rPr>
              <w:t xml:space="preserve"> vi </w:t>
            </w:r>
            <w:proofErr w:type="spellStart"/>
            <w:r w:rsidRPr="00882E28">
              <w:rPr>
                <w:sz w:val="26"/>
                <w:szCs w:val="26"/>
              </w:rPr>
              <w:t>lẩn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tránh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dữ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liệu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nhập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khẩu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của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hàng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hóa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đang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áp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thuế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và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hàng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hóa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có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dấu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lẩn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tránh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lẩn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tránh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dữ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liệu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ngành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sản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xuất</w:t>
            </w:r>
            <w:proofErr w:type="spellEnd"/>
            <w:r w:rsidRPr="00882E28">
              <w:rPr>
                <w:sz w:val="26"/>
                <w:szCs w:val="26"/>
              </w:rPr>
              <w:t xml:space="preserve">. </w:t>
            </w:r>
            <w:proofErr w:type="spellStart"/>
            <w:r w:rsidRPr="00882E28">
              <w:rPr>
                <w:sz w:val="26"/>
                <w:szCs w:val="26"/>
              </w:rPr>
              <w:t>Mục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đích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phục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vụ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xây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dựng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báo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cáo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đánh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giá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về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khả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năng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lẩn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tránh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các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biện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pháp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phòng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vệ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thương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mại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đang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áp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dụng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đối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với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các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sản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phẩm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trên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cơ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sở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đó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cảnh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báo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sớm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đến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các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doanh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nghiệp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ngành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sản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xuất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trong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nước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và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các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cơ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quan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chức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năng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để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có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biện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pháp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kế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hoạch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phù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hợp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nhằm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bảo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vệ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chính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đáng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ngành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sản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xuất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trong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nước</w:t>
            </w:r>
            <w:proofErr w:type="spellEnd"/>
            <w:r w:rsidRPr="00882E28">
              <w:rPr>
                <w:sz w:val="26"/>
                <w:szCs w:val="26"/>
              </w:rPr>
              <w:t>.</w:t>
            </w:r>
          </w:p>
          <w:p w14:paraId="1823C98E" w14:textId="77777777" w:rsidR="009C418D" w:rsidRDefault="009C418D" w:rsidP="009A6329">
            <w:pPr>
              <w:jc w:val="both"/>
              <w:rPr>
                <w:b/>
                <w:bCs/>
                <w:sz w:val="26"/>
                <w:szCs w:val="26"/>
              </w:rPr>
            </w:pPr>
            <w:r w:rsidRPr="00882E28">
              <w:rPr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882E28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882E2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b/>
                <w:bCs/>
                <w:sz w:val="26"/>
                <w:szCs w:val="26"/>
              </w:rPr>
              <w:t>phẩm</w:t>
            </w:r>
            <w:proofErr w:type="spellEnd"/>
            <w:r w:rsidRPr="00882E28">
              <w:rPr>
                <w:b/>
                <w:bCs/>
                <w:sz w:val="26"/>
                <w:szCs w:val="26"/>
              </w:rPr>
              <w:t xml:space="preserve"> bao </w:t>
            </w:r>
            <w:proofErr w:type="spellStart"/>
            <w:r w:rsidRPr="00882E28">
              <w:rPr>
                <w:b/>
                <w:bCs/>
                <w:sz w:val="26"/>
                <w:szCs w:val="26"/>
              </w:rPr>
              <w:t>gồm</w:t>
            </w:r>
            <w:proofErr w:type="spellEnd"/>
            <w:r w:rsidRPr="00882E28">
              <w:rPr>
                <w:sz w:val="26"/>
                <w:szCs w:val="26"/>
              </w:rPr>
              <w:t xml:space="preserve">: </w:t>
            </w:r>
            <w:proofErr w:type="spellStart"/>
            <w:r w:rsidRPr="00882E28">
              <w:rPr>
                <w:sz w:val="26"/>
                <w:szCs w:val="26"/>
              </w:rPr>
              <w:t>Thép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hình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chữ</w:t>
            </w:r>
            <w:proofErr w:type="spellEnd"/>
            <w:r w:rsidRPr="00882E28">
              <w:rPr>
                <w:sz w:val="26"/>
                <w:szCs w:val="26"/>
              </w:rPr>
              <w:t xml:space="preserve"> H, </w:t>
            </w:r>
            <w:proofErr w:type="spellStart"/>
            <w:r w:rsidRPr="00882E28">
              <w:rPr>
                <w:sz w:val="26"/>
                <w:szCs w:val="26"/>
              </w:rPr>
              <w:t>tháp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điện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gió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bột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ngọt</w:t>
            </w:r>
            <w:proofErr w:type="spellEnd"/>
            <w:r w:rsidRPr="00882E28">
              <w:rPr>
                <w:sz w:val="26"/>
                <w:szCs w:val="26"/>
              </w:rPr>
              <w:t xml:space="preserve">, </w:t>
            </w:r>
            <w:proofErr w:type="spellStart"/>
            <w:r w:rsidRPr="00882E28">
              <w:rPr>
                <w:sz w:val="26"/>
                <w:szCs w:val="26"/>
              </w:rPr>
              <w:t>đường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mía</w:t>
            </w:r>
            <w:proofErr w:type="spellEnd"/>
            <w:r w:rsidRPr="00882E28">
              <w:rPr>
                <w:sz w:val="26"/>
                <w:szCs w:val="26"/>
              </w:rPr>
              <w:t xml:space="preserve">, sorbitol, </w:t>
            </w:r>
            <w:proofErr w:type="spellStart"/>
            <w:r w:rsidRPr="00882E28">
              <w:rPr>
                <w:sz w:val="26"/>
                <w:szCs w:val="26"/>
              </w:rPr>
              <w:t>bàn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ghế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nội</w:t>
            </w:r>
            <w:proofErr w:type="spellEnd"/>
            <w:r w:rsidRPr="00882E28">
              <w:rPr>
                <w:sz w:val="26"/>
                <w:szCs w:val="26"/>
              </w:rPr>
              <w:t xml:space="preserve"> </w:t>
            </w:r>
            <w:proofErr w:type="spellStart"/>
            <w:r w:rsidRPr="00882E28">
              <w:rPr>
                <w:sz w:val="26"/>
                <w:szCs w:val="26"/>
              </w:rPr>
              <w:t>thất</w:t>
            </w:r>
            <w:proofErr w:type="spellEnd"/>
            <w:r w:rsidRPr="00882E28">
              <w:rPr>
                <w:sz w:val="26"/>
                <w:szCs w:val="26"/>
              </w:rPr>
              <w:t>.</w:t>
            </w:r>
          </w:p>
        </w:tc>
        <w:tc>
          <w:tcPr>
            <w:tcW w:w="563" w:type="pct"/>
            <w:shd w:val="clear" w:color="000000" w:fill="E2EFDA"/>
            <w:vAlign w:val="center"/>
            <w:hideMark/>
          </w:tcPr>
          <w:p w14:paraId="2FF7FF17" w14:textId="328DEC99" w:rsidR="009C418D" w:rsidRDefault="009C418D" w:rsidP="009A6329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89" w:type="pct"/>
            <w:shd w:val="clear" w:color="000000" w:fill="E2EFDA"/>
            <w:vAlign w:val="center"/>
          </w:tcPr>
          <w:p w14:paraId="5801D92A" w14:textId="77777777" w:rsidR="009C418D" w:rsidRDefault="009C418D" w:rsidP="009A63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C418D" w14:paraId="0A32A48B" w14:textId="77777777" w:rsidTr="00E60A8A">
        <w:trPr>
          <w:trHeight w:val="992"/>
        </w:trPr>
        <w:tc>
          <w:tcPr>
            <w:tcW w:w="172" w:type="pct"/>
            <w:shd w:val="clear" w:color="000000" w:fill="FFFFFF"/>
            <w:vAlign w:val="center"/>
            <w:hideMark/>
          </w:tcPr>
          <w:p w14:paraId="2861A947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0" w:type="pct"/>
            <w:vAlign w:val="center"/>
          </w:tcPr>
          <w:p w14:paraId="45A7DBF7" w14:textId="77777777" w:rsidR="009C418D" w:rsidRDefault="009C418D" w:rsidP="009A632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pct"/>
            <w:hideMark/>
          </w:tcPr>
          <w:p w14:paraId="53AE5E08" w14:textId="77777777" w:rsidR="009C418D" w:rsidRPr="002264E2" w:rsidRDefault="009C418D" w:rsidP="009A63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dõi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nguy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thuế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phòng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vệ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mại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bàn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ghế</w:t>
            </w:r>
            <w:proofErr w:type="spellEnd"/>
          </w:p>
        </w:tc>
        <w:tc>
          <w:tcPr>
            <w:tcW w:w="469" w:type="pct"/>
            <w:hideMark/>
          </w:tcPr>
          <w:p w14:paraId="635A47CC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Báo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363" w:type="pct"/>
          </w:tcPr>
          <w:p w14:paraId="198156B8" w14:textId="6630DAA6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4" w:type="pct"/>
          </w:tcPr>
          <w:p w14:paraId="11E8A31E" w14:textId="6FD1FF02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24C67A4F" w14:textId="716FF9E0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pct"/>
            <w:vMerge w:val="restart"/>
          </w:tcPr>
          <w:p w14:paraId="6D4EFC51" w14:textId="386D4780" w:rsidR="009C418D" w:rsidRPr="00E872C4" w:rsidRDefault="009C418D" w:rsidP="009A6329">
            <w:pPr>
              <w:spacing w:line="276" w:lineRule="auto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Mỗi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báo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cáo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bao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gồm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thông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tin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hành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vi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dữ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liệu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về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tình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nhập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khẩu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hàng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hóa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đang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áp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biện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pháp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hàng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hóa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có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dấu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hiệu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chỉ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lastRenderedPageBreak/>
              <w:t>đánh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sự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suy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giảm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hiệu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quả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biện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pháp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như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: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thị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phần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doanh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thu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lượng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bán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lợi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nhuận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lượng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tồn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kho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..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nước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khi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áp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biện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pháp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kèm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về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mối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tương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về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xu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hướng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nhập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khẩu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hàng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hóa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nghi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ngờ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biện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pháp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đến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tình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doanh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nước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khoảng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45-50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trang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báo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6"/>
                <w:szCs w:val="26"/>
                <w14:ligatures w14:val="standardContextual"/>
              </w:rPr>
              <w:t>cáo</w:t>
            </w:r>
            <w:proofErr w:type="spellEnd"/>
            <w:r>
              <w:rPr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</w:tr>
      <w:tr w:rsidR="009C418D" w14:paraId="18A83183" w14:textId="77777777" w:rsidTr="00E60A8A">
        <w:trPr>
          <w:trHeight w:val="992"/>
        </w:trPr>
        <w:tc>
          <w:tcPr>
            <w:tcW w:w="172" w:type="pct"/>
            <w:shd w:val="clear" w:color="000000" w:fill="FFFFFF"/>
            <w:vAlign w:val="center"/>
            <w:hideMark/>
          </w:tcPr>
          <w:p w14:paraId="53DF1860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0" w:type="pct"/>
            <w:vAlign w:val="center"/>
          </w:tcPr>
          <w:p w14:paraId="30B6F756" w14:textId="77777777" w:rsidR="009C418D" w:rsidRDefault="009C418D" w:rsidP="009A632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pct"/>
            <w:hideMark/>
          </w:tcPr>
          <w:p w14:paraId="763B7D9F" w14:textId="77777777" w:rsidR="009C418D" w:rsidRPr="002264E2" w:rsidRDefault="009C418D" w:rsidP="009A63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dõi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nguy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thuế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phòng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vệ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mại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tháp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điện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gió</w:t>
            </w:r>
            <w:proofErr w:type="spellEnd"/>
          </w:p>
        </w:tc>
        <w:tc>
          <w:tcPr>
            <w:tcW w:w="469" w:type="pct"/>
            <w:hideMark/>
          </w:tcPr>
          <w:p w14:paraId="634F45BB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 w:rsidRPr="00322EC8">
              <w:rPr>
                <w:sz w:val="26"/>
                <w:szCs w:val="26"/>
              </w:rPr>
              <w:t xml:space="preserve">Báo </w:t>
            </w:r>
            <w:proofErr w:type="spellStart"/>
            <w:r w:rsidRPr="00322EC8">
              <w:rPr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363" w:type="pct"/>
          </w:tcPr>
          <w:p w14:paraId="7332F245" w14:textId="3F5B4BB4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4" w:type="pct"/>
          </w:tcPr>
          <w:p w14:paraId="04852B05" w14:textId="05DB0BAB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03D00C4D" w14:textId="7B40F3EF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pct"/>
            <w:vMerge/>
          </w:tcPr>
          <w:p w14:paraId="5F74A343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</w:tr>
      <w:tr w:rsidR="009C418D" w14:paraId="11ACEFD0" w14:textId="77777777" w:rsidTr="00E60A8A">
        <w:trPr>
          <w:trHeight w:val="992"/>
        </w:trPr>
        <w:tc>
          <w:tcPr>
            <w:tcW w:w="172" w:type="pct"/>
            <w:shd w:val="clear" w:color="000000" w:fill="FFFFFF"/>
            <w:vAlign w:val="center"/>
            <w:hideMark/>
          </w:tcPr>
          <w:p w14:paraId="07801ED9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0" w:type="pct"/>
            <w:vAlign w:val="center"/>
          </w:tcPr>
          <w:p w14:paraId="592C1D68" w14:textId="77777777" w:rsidR="009C418D" w:rsidRDefault="009C418D" w:rsidP="009A632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pct"/>
            <w:hideMark/>
          </w:tcPr>
          <w:p w14:paraId="0C710FED" w14:textId="77777777" w:rsidR="009C418D" w:rsidRPr="002264E2" w:rsidRDefault="009C418D" w:rsidP="009A63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dõi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nguy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thuế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phòng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vệ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mại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sorbitol</w:t>
            </w:r>
          </w:p>
        </w:tc>
        <w:tc>
          <w:tcPr>
            <w:tcW w:w="469" w:type="pct"/>
            <w:hideMark/>
          </w:tcPr>
          <w:p w14:paraId="687CB536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 w:rsidRPr="00322EC8">
              <w:rPr>
                <w:sz w:val="26"/>
                <w:szCs w:val="26"/>
              </w:rPr>
              <w:t xml:space="preserve">Báo </w:t>
            </w:r>
            <w:proofErr w:type="spellStart"/>
            <w:r w:rsidRPr="00322EC8">
              <w:rPr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363" w:type="pct"/>
          </w:tcPr>
          <w:p w14:paraId="1340C8B7" w14:textId="7C2B8DEE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4" w:type="pct"/>
          </w:tcPr>
          <w:p w14:paraId="3760BDC4" w14:textId="7C5C4E0F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155CE544" w14:textId="2C741527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pct"/>
            <w:vMerge/>
          </w:tcPr>
          <w:p w14:paraId="27D42C1C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</w:tr>
      <w:tr w:rsidR="009C418D" w14:paraId="536B0895" w14:textId="77777777" w:rsidTr="00E60A8A">
        <w:trPr>
          <w:trHeight w:val="992"/>
        </w:trPr>
        <w:tc>
          <w:tcPr>
            <w:tcW w:w="172" w:type="pct"/>
            <w:shd w:val="clear" w:color="000000" w:fill="FFFFFF"/>
            <w:vAlign w:val="center"/>
            <w:hideMark/>
          </w:tcPr>
          <w:p w14:paraId="3278B689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500" w:type="pct"/>
            <w:vAlign w:val="center"/>
          </w:tcPr>
          <w:p w14:paraId="5BFF738B" w14:textId="77777777" w:rsidR="009C418D" w:rsidRDefault="009C418D" w:rsidP="009A632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pct"/>
            <w:hideMark/>
          </w:tcPr>
          <w:p w14:paraId="72008A2A" w14:textId="77777777" w:rsidR="009C418D" w:rsidRPr="002264E2" w:rsidRDefault="009C418D" w:rsidP="009A63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dõi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nguy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thuế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phòng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vệ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mại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bột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ngọt</w:t>
            </w:r>
            <w:proofErr w:type="spellEnd"/>
          </w:p>
        </w:tc>
        <w:tc>
          <w:tcPr>
            <w:tcW w:w="469" w:type="pct"/>
            <w:hideMark/>
          </w:tcPr>
          <w:p w14:paraId="19C151F7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 w:rsidRPr="00322EC8">
              <w:rPr>
                <w:sz w:val="26"/>
                <w:szCs w:val="26"/>
              </w:rPr>
              <w:t xml:space="preserve">Báo </w:t>
            </w:r>
            <w:proofErr w:type="spellStart"/>
            <w:r w:rsidRPr="00322EC8">
              <w:rPr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363" w:type="pct"/>
          </w:tcPr>
          <w:p w14:paraId="28722901" w14:textId="28E53AD9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4" w:type="pct"/>
          </w:tcPr>
          <w:p w14:paraId="3E9BCEA6" w14:textId="0DCDBD56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7A53947C" w14:textId="2DF0E6A9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pct"/>
            <w:vMerge/>
          </w:tcPr>
          <w:p w14:paraId="7374659C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</w:tr>
      <w:tr w:rsidR="009C418D" w14:paraId="4288E9E6" w14:textId="77777777" w:rsidTr="00E60A8A">
        <w:trPr>
          <w:trHeight w:val="992"/>
        </w:trPr>
        <w:tc>
          <w:tcPr>
            <w:tcW w:w="172" w:type="pct"/>
            <w:shd w:val="clear" w:color="000000" w:fill="FFFFFF"/>
            <w:vAlign w:val="center"/>
            <w:hideMark/>
          </w:tcPr>
          <w:p w14:paraId="4C352028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00" w:type="pct"/>
            <w:vAlign w:val="center"/>
          </w:tcPr>
          <w:p w14:paraId="2D1F8B2E" w14:textId="77777777" w:rsidR="009C418D" w:rsidRDefault="009C418D" w:rsidP="009A632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pct"/>
            <w:hideMark/>
          </w:tcPr>
          <w:p w14:paraId="2E2B25B9" w14:textId="77777777" w:rsidR="009C418D" w:rsidRPr="002264E2" w:rsidRDefault="009C418D" w:rsidP="009A63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dõi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nguy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thuế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phòng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vệ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mại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phẩm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đường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mía</w:t>
            </w:r>
            <w:proofErr w:type="spellEnd"/>
          </w:p>
        </w:tc>
        <w:tc>
          <w:tcPr>
            <w:tcW w:w="469" w:type="pct"/>
            <w:hideMark/>
          </w:tcPr>
          <w:p w14:paraId="48530505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 w:rsidRPr="00322EC8">
              <w:rPr>
                <w:sz w:val="26"/>
                <w:szCs w:val="26"/>
              </w:rPr>
              <w:t xml:space="preserve">Báo </w:t>
            </w:r>
            <w:proofErr w:type="spellStart"/>
            <w:r w:rsidRPr="00322EC8">
              <w:rPr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363" w:type="pct"/>
          </w:tcPr>
          <w:p w14:paraId="33F4705A" w14:textId="0AB6DD05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4" w:type="pct"/>
          </w:tcPr>
          <w:p w14:paraId="4386F6E0" w14:textId="54458973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2BB9C279" w14:textId="7D0F6FEB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pct"/>
            <w:vMerge/>
          </w:tcPr>
          <w:p w14:paraId="1066604B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</w:tr>
      <w:tr w:rsidR="009C418D" w14:paraId="31A21727" w14:textId="77777777" w:rsidTr="00E60A8A">
        <w:trPr>
          <w:trHeight w:val="992"/>
        </w:trPr>
        <w:tc>
          <w:tcPr>
            <w:tcW w:w="172" w:type="pct"/>
            <w:shd w:val="clear" w:color="000000" w:fill="FFFFFF"/>
            <w:vAlign w:val="center"/>
            <w:hideMark/>
          </w:tcPr>
          <w:p w14:paraId="1981EF6E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00" w:type="pct"/>
            <w:vAlign w:val="center"/>
          </w:tcPr>
          <w:p w14:paraId="28CAFE64" w14:textId="77777777" w:rsidR="009C418D" w:rsidRDefault="009C418D" w:rsidP="009A632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pct"/>
            <w:hideMark/>
          </w:tcPr>
          <w:p w14:paraId="0E8E1B59" w14:textId="77777777" w:rsidR="009C418D" w:rsidRPr="002264E2" w:rsidRDefault="009C418D" w:rsidP="009A63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dõi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nguy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lẩn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tránh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thuế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phòng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vệ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mại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phẩm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thép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chữ</w:t>
            </w:r>
            <w:proofErr w:type="spellEnd"/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 H</w:t>
            </w:r>
          </w:p>
        </w:tc>
        <w:tc>
          <w:tcPr>
            <w:tcW w:w="469" w:type="pct"/>
            <w:hideMark/>
          </w:tcPr>
          <w:p w14:paraId="7CBBD0B6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  <w:r w:rsidRPr="00322EC8">
              <w:rPr>
                <w:sz w:val="26"/>
                <w:szCs w:val="26"/>
              </w:rPr>
              <w:t xml:space="preserve">Báo </w:t>
            </w:r>
            <w:proofErr w:type="spellStart"/>
            <w:r w:rsidRPr="00322EC8">
              <w:rPr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363" w:type="pct"/>
          </w:tcPr>
          <w:p w14:paraId="4C42DCD6" w14:textId="684EF72C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4" w:type="pct"/>
          </w:tcPr>
          <w:p w14:paraId="3C1EEE5C" w14:textId="397C156E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09AB197D" w14:textId="2449ACEF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pct"/>
            <w:vMerge/>
          </w:tcPr>
          <w:p w14:paraId="03FD90A1" w14:textId="77777777" w:rsidR="009C418D" w:rsidRDefault="009C418D" w:rsidP="009A632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F740AC0" w14:textId="77777777" w:rsidR="009C418D" w:rsidRDefault="009C418D" w:rsidP="009C418D"/>
    <w:p w14:paraId="0901EF2E" w14:textId="77777777" w:rsidR="00C06A06" w:rsidRDefault="00C06A06"/>
    <w:sectPr w:rsidR="00C06A06" w:rsidSect="009C418D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8D"/>
    <w:rsid w:val="001763F9"/>
    <w:rsid w:val="00527FF7"/>
    <w:rsid w:val="0079190E"/>
    <w:rsid w:val="008460C8"/>
    <w:rsid w:val="009C418D"/>
    <w:rsid w:val="00AE3ABE"/>
    <w:rsid w:val="00C06A06"/>
    <w:rsid w:val="00E60A8A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2154"/>
  <w15:chartTrackingRefBased/>
  <w15:docId w15:val="{9BDAE1F2-7886-4A3D-B57D-F30853B4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8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1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1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1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1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1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1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1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1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1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1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1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4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1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4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Vu</dc:creator>
  <cp:keywords/>
  <dc:description/>
  <cp:lastModifiedBy>Phuong Vu</cp:lastModifiedBy>
  <cp:revision>2</cp:revision>
  <dcterms:created xsi:type="dcterms:W3CDTF">2025-12-01T03:18:00Z</dcterms:created>
  <dcterms:modified xsi:type="dcterms:W3CDTF">2025-12-03T04:42:00Z</dcterms:modified>
</cp:coreProperties>
</file>